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Referans Faiz Oranları</w:t>
      </w:r>
    </w:p>
    <w:p>
      <w:pPr>
        <w:pStyle w:val="Normal"/>
        <w:jc w:val="both"/>
        <w:rPr>
          <w:rFonts w:ascii="Times New Roman" w:hAnsi="Times New Roman" w:cs="Times New Roman"/>
          <w:sz w:val="24"/>
          <w:szCs w:val="24"/>
        </w:rPr>
      </w:pPr>
      <w:r>
        <w:rPr>
          <w:rFonts w:cs="Times New Roman" w:ascii="Times New Roman" w:hAnsi="Times New Roman"/>
          <w:sz w:val="24"/>
          <w:szCs w:val="24"/>
        </w:rPr>
        <w:t>31/2020 Sayılı Tüketici Kredileri Yasası’nın 19’ncu maddesi tahtında KKTC Merkez Bankası tarafından belirlenen ve değişken faizli kredi türleri için bankalarca kullanılacak TL, USD, STG ve EUR referans faiz oranları sitelerinin linkleri aşağıdaki gibidir:</w:t>
      </w:r>
    </w:p>
    <w:p>
      <w:pPr>
        <w:pStyle w:val="Normal"/>
        <w:rPr>
          <w:rFonts w:ascii="Times New Roman" w:hAnsi="Times New Roman" w:cs="Times New Roman"/>
          <w:b/>
          <w:b/>
          <w:sz w:val="24"/>
          <w:szCs w:val="24"/>
        </w:rPr>
      </w:pPr>
      <w:r>
        <w:rPr>
          <w:rFonts w:cs="Times New Roman" w:ascii="Times New Roman" w:hAnsi="Times New Roman"/>
          <w:b/>
          <w:sz w:val="24"/>
          <w:szCs w:val="24"/>
        </w:rPr>
        <w:t>TLREF : Türk Lirası Gecelik Referans Faiz Oranı</w:t>
      </w:r>
    </w:p>
    <w:p>
      <w:pPr>
        <w:pStyle w:val="Normal"/>
        <w:rPr>
          <w:rFonts w:ascii="Times New Roman" w:hAnsi="Times New Roman" w:cs="Times New Roman"/>
          <w:b/>
          <w:b/>
          <w:sz w:val="24"/>
          <w:szCs w:val="24"/>
        </w:rPr>
      </w:pPr>
      <w:hyperlink r:id="rId2">
        <w:r>
          <w:rPr>
            <w:rStyle w:val="NternetBalants"/>
            <w:rFonts w:cs="Times New Roman" w:ascii="Times New Roman" w:hAnsi="Times New Roman"/>
            <w:b/>
            <w:sz w:val="24"/>
            <w:szCs w:val="24"/>
          </w:rPr>
          <w:t>https://borsaistanbul.com/tr/sayfa/179/tlr</w:t>
        </w:r>
        <w:bookmarkStart w:id="0" w:name="_GoBack"/>
        <w:bookmarkEnd w:id="0"/>
        <w:r>
          <w:rPr>
            <w:rStyle w:val="NternetBalants"/>
            <w:rFonts w:cs="Times New Roman" w:ascii="Times New Roman" w:hAnsi="Times New Roman"/>
            <w:b/>
            <w:sz w:val="24"/>
            <w:szCs w:val="24"/>
          </w:rPr>
          <w:t>ef-turk-lirasi-gecelik-referans-faiz-orani</w:t>
        </w:r>
      </w:hyperlink>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USD Ref: Secured Overnight Financing Rate (SOFR)</w:t>
      </w:r>
    </w:p>
    <w:p>
      <w:pPr>
        <w:pStyle w:val="Normal"/>
        <w:rPr/>
      </w:pPr>
      <w:hyperlink r:id="rId3">
        <w:r>
          <w:rPr>
            <w:rStyle w:val="NternetBalants"/>
            <w:rFonts w:cs="Times New Roman" w:ascii="Times New Roman" w:hAnsi="Times New Roman"/>
            <w:b/>
            <w:sz w:val="24"/>
            <w:szCs w:val="24"/>
          </w:rPr>
          <w:t>https://www.newyorkfed.org/markets/reference-rates/sofr</w:t>
        </w:r>
      </w:hyperlink>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EURO Ref: Euro Short-Term Rate (€STR)</w:t>
      </w:r>
    </w:p>
    <w:p>
      <w:pPr>
        <w:pStyle w:val="Normal"/>
        <w:rPr>
          <w:rFonts w:ascii="Times New Roman" w:hAnsi="Times New Roman" w:cs="Times New Roman"/>
          <w:b/>
          <w:b/>
          <w:sz w:val="24"/>
          <w:szCs w:val="24"/>
        </w:rPr>
      </w:pPr>
      <w:hyperlink r:id="rId4">
        <w:r>
          <w:rPr>
            <w:rStyle w:val="NternetBalants"/>
            <w:rFonts w:cs="Times New Roman" w:ascii="Times New Roman" w:hAnsi="Times New Roman"/>
            <w:b/>
            <w:sz w:val="24"/>
            <w:szCs w:val="24"/>
          </w:rPr>
          <w:t>https://www.ecb.europa.eu/stats/financial_markets_and_interest_rates/euro_short-term_rate/html/index.en.html</w:t>
        </w:r>
      </w:hyperlink>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rPr>
          <w:rFonts w:ascii="Times New Roman" w:hAnsi="Times New Roman" w:cs="Times New Roman"/>
          <w:b/>
          <w:b/>
          <w:sz w:val="24"/>
          <w:szCs w:val="24"/>
        </w:rPr>
      </w:pPr>
      <w:r>
        <w:rPr>
          <w:rFonts w:cs="Times New Roman" w:ascii="Times New Roman" w:hAnsi="Times New Roman"/>
          <w:b/>
          <w:sz w:val="24"/>
          <w:szCs w:val="24"/>
        </w:rPr>
        <w:t>STG Ref: Sterling Overnight Index Average (SONIA)</w:t>
      </w:r>
    </w:p>
    <w:p>
      <w:pPr>
        <w:pStyle w:val="Normal"/>
        <w:rPr>
          <w:rFonts w:ascii="Times New Roman" w:hAnsi="Times New Roman" w:cs="Times New Roman"/>
          <w:b/>
          <w:b/>
          <w:sz w:val="24"/>
          <w:szCs w:val="24"/>
        </w:rPr>
      </w:pPr>
      <w:hyperlink r:id="rId5">
        <w:r>
          <w:rPr>
            <w:rStyle w:val="NternetBalants"/>
            <w:rFonts w:cs="Times New Roman" w:ascii="Times New Roman" w:hAnsi="Times New Roman"/>
            <w:b/>
            <w:sz w:val="24"/>
            <w:szCs w:val="24"/>
          </w:rPr>
          <w:t>https://www.bankofengland.co.uk/boeapps/database/fromshowcolumns.asp?Travel=NIxSUx&amp;FromSeries=1&amp;ToSeries=50&amp;DAT=RNG&amp;FD=1&amp;FM=Jan&amp;FY=2010&amp;TD=13&amp;TM=Oct&amp;TY=2020&amp;FNY=&amp;CSVF=TT&amp;html.x=103&amp;html.y=38&amp;C=5JK&amp;Filter=N</w:t>
        </w:r>
      </w:hyperlink>
    </w:p>
    <w:p>
      <w:pPr>
        <w:pStyle w:val="Normal"/>
        <w:spacing w:before="0" w:after="160"/>
        <w:rPr>
          <w:rFonts w:ascii="Times New Roman" w:hAnsi="Times New Roman" w:cs="Times New Roman"/>
          <w:b/>
          <w:b/>
          <w:sz w:val="24"/>
          <w:szCs w:val="24"/>
        </w:rPr>
      </w:pPr>
      <w:r>
        <w:rPr/>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NternetBalants">
    <w:name w:val="İnternet Bağlantısı"/>
    <w:basedOn w:val="DefaultParagraphFont"/>
    <w:uiPriority w:val="99"/>
    <w:unhideWhenUsed/>
    <w:rsid w:val="00606f48"/>
    <w:rPr>
      <w:color w:val="0563C1" w:themeColor="hyperlink"/>
      <w:u w:val="single"/>
    </w:rPr>
  </w:style>
  <w:style w:type="character" w:styleId="ZiyaretEdilminternetBalants">
    <w:name w:val="Ziyaret Edilmiş İnternet Bağlantısı"/>
    <w:rPr>
      <w:color w:val="800000"/>
      <w:u w:val="single"/>
      <w:lang w:val="zxx" w:eastAsia="zxx" w:bidi="zxx"/>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lang w:val="zxx" w:eastAsia="zxx" w:bidi="zxx"/>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borsaistanbul.com/tr/sayfa/179/tlref-turk-lirasi-gecelik-referans-faiz-orani" TargetMode="External"/><Relationship Id="rId3" Type="http://schemas.openxmlformats.org/officeDocument/2006/relationships/hyperlink" Target="https://www.newyorkfed.org/markets/reference-rates/sofr" TargetMode="External"/><Relationship Id="rId4" Type="http://schemas.openxmlformats.org/officeDocument/2006/relationships/hyperlink" Target="https://www.ecb.europa.eu/stats/financial_markets_and_interest_rates/euro_short-term_rate/html/index.en.html" TargetMode="External"/><Relationship Id="rId5" Type="http://schemas.openxmlformats.org/officeDocument/2006/relationships/hyperlink" Target="https://www.bankofengland.co.uk/boeapps/database/fromshowcolumns.asp?Travel=NIxSUx&amp;FromSeries=1&amp;ToSeries=50&amp;DAT=RNG&amp;FD=1&amp;FM=Jan&amp;FY=2010&amp;TD=13&amp;TM=Oct&amp;TY=2020&amp;FNY=&amp;CSVF=TT&amp;html.x=103&amp;html.y=38&amp;C=5JK&amp;Filter=N"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Application>LibreOffice/7.2.0.4$Windows_X86_64 LibreOffice_project/9a9c6381e3f7a62afc1329bd359cc48accb6435b</Application>
  <AppVersion>15.0000</AppVersion>
  <Pages>1</Pages>
  <Words>68</Words>
  <Characters>852</Characters>
  <CharactersWithSpaces>910</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2020-10-13T05:57:00Z</dcterms:created>
  <dc:creator>Windows User</dc:creator>
  <dc:description/>
  <dc:language>tr-TR</dc:language>
  <cp:lastModifiedBy/>
  <dcterms:modified xsi:type="dcterms:W3CDTF">2024-10-31T22:34:10Z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